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711" w:rsidRDefault="00722711" w:rsidP="009108C0">
      <w:pPr>
        <w:pStyle w:val="a3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5E8EDB4" wp14:editId="73F3D6CC">
            <wp:simplePos x="0" y="0"/>
            <wp:positionH relativeFrom="column">
              <wp:posOffset>152400</wp:posOffset>
            </wp:positionH>
            <wp:positionV relativeFrom="paragraph">
              <wp:posOffset>152400</wp:posOffset>
            </wp:positionV>
            <wp:extent cx="5705475" cy="9286875"/>
            <wp:effectExtent l="0" t="0" r="9525" b="9525"/>
            <wp:wrapSquare wrapText="bothSides"/>
            <wp:docPr id="2" name="Рисунок 2" descr="C:\Users\User\AppData\Local\Packages\Microsoft.Windows.Photos_8wekyb3d8bbwe\TempState\ShareServiceTempFolder\Scan 2024-02-26 11_30_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Packages\Microsoft.Windows.Photos_8wekyb3d8bbwe\TempState\ShareServiceTempFolder\Scan 2024-02-26 11_30_1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928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9108C0" w:rsidRDefault="00722711" w:rsidP="009108C0">
      <w:pPr>
        <w:pStyle w:val="a3"/>
      </w:pPr>
      <w:r>
        <w:br w:type="textWrapping" w:clear="all"/>
      </w: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bookmarkStart w:id="0" w:name="block-12289395"/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социализации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пределами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связей иностранного (английского) языка с содержанием других учебных предметов, изучаемых в 10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tt-RU" w:eastAsia="ru-RU"/>
        </w:rPr>
        <w:t xml:space="preserve"> классе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а также с учётом возрастных особенностей обучающихся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так и личностных результатов обучения.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Значимость владения иностранными </w:t>
      </w:r>
      <w:proofErr w:type="gramStart"/>
      <w:r w:rsidRPr="009108C0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языками</w:t>
      </w:r>
      <w:proofErr w:type="gramEnd"/>
      <w:r w:rsidRPr="009108C0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9108C0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постглобализации</w:t>
      </w:r>
      <w:proofErr w:type="spellEnd"/>
      <w:r w:rsidRPr="009108C0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ств гр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речевая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языковая, социокультурная, компенсаторная и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метапредметная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компетенции: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чтении, письменной речи);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метапредметная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Основными подходами к обучению иностранным языкам признаются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компетентностный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системно-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межкультурный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 коммуникативно-когнитивный. Совокупность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tt-RU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‌</w:t>
      </w:r>
      <w:bookmarkStart w:id="1" w:name="b1cb9ba3-8936-440c-ac0f-95944fbe2f65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Общее число часов, рекомендованных для изучения иностранного</w:t>
      </w:r>
      <w:r w:rsidR="00722711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(английского) языка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10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классе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102 часа (3 часа в неделю)</w:t>
      </w:r>
      <w:bookmarkEnd w:id="1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tt-RU" w:eastAsia="ru-RU"/>
        </w:rPr>
        <w:t>.</w:t>
      </w:r>
    </w:p>
    <w:p w:rsidR="009108C0" w:rsidRPr="00722711" w:rsidRDefault="009108C0" w:rsidP="009108C0">
      <w:pPr>
        <w:rPr>
          <w:rFonts w:eastAsiaTheme="minorEastAsia"/>
          <w:sz w:val="24"/>
          <w:szCs w:val="24"/>
          <w:lang w:val="tt-RU" w:eastAsia="ru-RU"/>
        </w:rPr>
        <w:sectPr w:rsidR="009108C0" w:rsidRPr="00722711" w:rsidSect="00722711">
          <w:pgSz w:w="11906" w:h="16383"/>
          <w:pgMar w:top="567" w:right="850" w:bottom="1134" w:left="1134" w:header="720" w:footer="720" w:gutter="0"/>
          <w:cols w:space="720"/>
        </w:sectPr>
      </w:pP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bookmarkStart w:id="2" w:name="block-12289397"/>
      <w:bookmarkEnd w:id="0"/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lastRenderedPageBreak/>
        <w:t>СОДЕРЖАНИЕ ОБУЧЕНИЯ</w:t>
      </w: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10 КЛАСС</w:t>
      </w: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Коммуникативные умения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Внешность и характеристика человека, литературного персонажа.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обучающегося). Роль иностранного языка в планах на будущее.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Покупки: одежда, обувь и продукты питания. Карманные деньги. Молодёжная мода.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Туризм. Виды отдыха. Путешествия по России и зарубежным странам.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Проблемы экологии. Защита окружающей среды. Стихийные бедствия.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Условия проживания в городской/сельской местности.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Говорение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Развитие коммуникативных умений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u w:val="single"/>
          <w:lang w:eastAsia="ru-RU"/>
        </w:rPr>
        <w:t>диалогической речи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диалог-побуждение к действию: обращаться с просьбой, вежливо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соглашаться/не соглашаться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выполнить просьбу, давать совет и принимать/ не принимать совет,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 xml:space="preserve">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Объём диалога – 8 реплик со стороны каждого собеседника.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Развитие коммуникативных умений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u w:val="single"/>
          <w:lang w:eastAsia="ru-RU"/>
        </w:rPr>
        <w:t>монологической речи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на базе умений, сформированных на уровне основного общего образования: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повествование/сообщение;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рассуждение;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устное представление (презентация) результатов выполненной проектной работы.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Объём монологического высказывания – до 14 фраз.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9108C0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Аудирование</w:t>
      </w:r>
      <w:proofErr w:type="spellEnd"/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Развитие коммуникативных умений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 xml:space="preserve">Тексты для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Время звучания текста/текстов для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до 2,5 минуты.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Смысловое чтение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proofErr w:type="gramEnd"/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Чтение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несплошных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текстов (таблиц, диаграмм, графиков и другие) и понимание представленной в них информации.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Объём текста/текстов для чтения – 500–700 слов.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Письменная речь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Языковые знания и навыки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Фонетическая сторона речи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Орфография и пунктуация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Правильное написание изученных слов.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Лексическая сторона речи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Основные способы словообразования: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аффиксация: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образование глаголов при помощи префиксов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dis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mis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over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under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и суффикса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ise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ize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 xml:space="preserve">образование имён существительных при помощи префиксов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un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-/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im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и суффиксов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ance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ence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er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or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ing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ist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ity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ment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ness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sion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tion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ship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образование имён прилагательных при помощи префиксов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un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-/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im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inter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non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и суффиксов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able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ible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al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ese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ful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ian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an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ing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ish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ive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less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ly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ous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-y;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образование наречий при помощи префиксов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un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-/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im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и суффикса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ly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числительных при помощи суффиксов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teen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ty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словосложение: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сложных существительных путём соединения основ существительных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football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blackboard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сложных существительных путём соединения основ существительных с предлогом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father-in-law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blue-eyed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eight-legged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сложных прилагательных путём соединения наречия с основой причасти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II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well-behaved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nice-looking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конверсия: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имён существительных от неопределённой формы глаголов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run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a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run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имён существительных от имён прилагательных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rich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people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the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rich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образование глаголов от имён существительных (a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hand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hand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глаголов от имён прилагательных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cool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cool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Имена прилагательные на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ing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excited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exciting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Грамматическая сторона речи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moved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a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new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house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last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year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.).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 с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начальным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 с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начальным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There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Предложения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глагольными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конструкциями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содержащими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глаголы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-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связки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to be, to look, to seem, to feel (He looks/seems/feels happy.).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Предложения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c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сложным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дополнением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– Complex Object (I want you to help me. I saw her cross/crossing the road. I want to have my hair cut.).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Сложносочинённые предложения с сочинительными союзами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and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but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or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Сложноподчинённые предложения с союзами и союзными словами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because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if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when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where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what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why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how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which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that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proofErr w:type="gramEnd"/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Сложноподчинённые предложения с союзными словами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whoever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whatever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however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whenever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Условные предложения с глаголами в изъявительном наклонении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Conditional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0,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Conditional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I) и с глаголами в сослагательном наклонении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Conditional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II).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Все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типы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вопросительных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предложений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общий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специальный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альтернативный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разделительный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вопросы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Present/Past/Future Simple Tense, Present/Past Continuous Tense, Present/Past Perfect Tense, Present Perfect Continuous Tense).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Модальные глаголы в косвенной речи в настоящем и прошедшем времени.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Предложения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конструкциями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as … as, not so … as, both … and …, either … or, neither … nor.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 с I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wish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…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Конструкции с глаголами на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ing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love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hate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doing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smth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c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глаголами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to stop, to remember, to forget (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разница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значении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to stop doing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to stop to do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).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Конструкция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It takes me … to do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Конструкция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used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+ инфинитив глагола.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be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/get used to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be/get used to doing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I prefer, I’d prefer, I’d rather prefer,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выражающие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предпочтение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также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I’d rather, You’d better.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Подлежащее, выраженное собирательным существительным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family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police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), и его согласование со сказуемым.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Future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Simple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Continuous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Perfect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Perfect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Continuous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Future-in-the-Past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 и наиболее употребительных формах страдательного залога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Simple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Passive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Perfect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Passive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Конструкция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to be going to,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формы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Future Simple Tense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Present Continuous Tense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выражения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будущего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действия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Модальные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глаголы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их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эквиваленты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(can/be able to, could, must/have to, may, might, should, shall, would, will, need).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Неличные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формы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глагола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–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инфинитив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герундий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причастие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(Participle I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Participle II),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причастия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функции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определения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(Participle I – a playing child, Participle II – a written text).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Определённый, неопределённый и нулевой артикли.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Имена существительные во множественном числе,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образованных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по правилу, и исключения.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Притяжательный падеж имён существительных.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Порядок следования нескольких прилагательных (мнение – размер – возраст – цвет – происхождение).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Слова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выражающие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количество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(many/much, little/a little, few/a few, a lot of).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none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 производные последнего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nobody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nothing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 другие). </w:t>
      </w:r>
      <w:proofErr w:type="gramEnd"/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Количественные и порядковые числительные.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Социокультурные знания и умения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Компенсаторные умения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языковую и контекстуальную догадку.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9108C0" w:rsidRPr="009108C0" w:rsidRDefault="009108C0" w:rsidP="009108C0">
      <w:pPr>
        <w:rPr>
          <w:rFonts w:eastAsiaTheme="minorEastAsia"/>
          <w:sz w:val="24"/>
          <w:szCs w:val="24"/>
          <w:lang w:eastAsia="ru-RU"/>
        </w:rPr>
        <w:sectPr w:rsidR="009108C0" w:rsidRPr="009108C0">
          <w:pgSz w:w="11906" w:h="16383"/>
          <w:pgMar w:top="1134" w:right="850" w:bottom="1134" w:left="1701" w:header="720" w:footer="720" w:gutter="0"/>
          <w:cols w:space="720"/>
        </w:sectPr>
      </w:pP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bookmarkStart w:id="3" w:name="block-12289398"/>
      <w:bookmarkEnd w:id="2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Личностные результаты освоения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обучающегося будут сформированы следующие личностные результаты: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1) гражданского воспитания: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осознание своих конституционных прав и обязанностей, уважение закона и правопорядка;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умение взаимодействовать с социальными институтами в соответствии с их функциями и назначением;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готовность к гуманитарной и волонтёрской деятельности.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2) патриотического воспитания: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идейная убеждённость, готовность к служению и защите Отечества, ответственность за его судьбу.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3) духовно-нравственного воспитания: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осознание духовных ценностей российского народа;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нравственного сознания, этического поведения;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осознание личного вклада в построение устойчивого будущего;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4) эстетического воспитания: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5) физического воспитания: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здорового и безопасного образа жизни, ответственного отношения к своему здоровью;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потребность в физическом совершенствовании, занятиях спортивно-оздоровительной деятельностью;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6) трудового воспитания: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готовность к труду, осознание ценности мастерства, трудолюбие;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7) экологического воспитания: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активное неприятие действий, приносящих вред окружающей среде;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расширение опыта деятельности экологической направленности.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8) ценности научного познания: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обучающихся совершенствуется эмоциональный интеллект, предполагающий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: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эмпатии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Базовые логические действия:</w:t>
      </w:r>
    </w:p>
    <w:p w:rsidR="009108C0" w:rsidRPr="009108C0" w:rsidRDefault="009108C0" w:rsidP="009108C0">
      <w:pPr>
        <w:numPr>
          <w:ilvl w:val="0"/>
          <w:numId w:val="1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самостоятельно формулировать и актуализировать проблему, рассматривать её всесторонне; </w:t>
      </w:r>
    </w:p>
    <w:p w:rsidR="009108C0" w:rsidRPr="009108C0" w:rsidRDefault="009108C0" w:rsidP="009108C0">
      <w:pPr>
        <w:numPr>
          <w:ilvl w:val="0"/>
          <w:numId w:val="1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9108C0" w:rsidRPr="009108C0" w:rsidRDefault="009108C0" w:rsidP="009108C0">
      <w:pPr>
        <w:numPr>
          <w:ilvl w:val="0"/>
          <w:numId w:val="1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определять цели деятельности, задавать параметры и критерии их достижения;</w:t>
      </w:r>
    </w:p>
    <w:p w:rsidR="009108C0" w:rsidRPr="009108C0" w:rsidRDefault="009108C0" w:rsidP="009108C0">
      <w:pPr>
        <w:numPr>
          <w:ilvl w:val="0"/>
          <w:numId w:val="1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выявлять закономерности в языковых явлениях изучаемого иностранного (английского) языка; </w:t>
      </w:r>
    </w:p>
    <w:p w:rsidR="009108C0" w:rsidRPr="009108C0" w:rsidRDefault="009108C0" w:rsidP="009108C0">
      <w:pPr>
        <w:numPr>
          <w:ilvl w:val="0"/>
          <w:numId w:val="1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108C0" w:rsidRPr="009108C0" w:rsidRDefault="009108C0" w:rsidP="009108C0">
      <w:pPr>
        <w:numPr>
          <w:ilvl w:val="0"/>
          <w:numId w:val="1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9108C0" w:rsidRPr="009108C0" w:rsidRDefault="009108C0" w:rsidP="009108C0">
      <w:pPr>
        <w:numPr>
          <w:ilvl w:val="0"/>
          <w:numId w:val="1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108C0" w:rsidRPr="009108C0" w:rsidRDefault="009108C0" w:rsidP="009108C0">
      <w:pPr>
        <w:numPr>
          <w:ilvl w:val="0"/>
          <w:numId w:val="1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развивать креативное мышление при решении жизненных проблем.</w:t>
      </w: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9108C0" w:rsidRPr="009108C0" w:rsidRDefault="009108C0" w:rsidP="009108C0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9108C0" w:rsidRPr="009108C0" w:rsidRDefault="009108C0" w:rsidP="009108C0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9108C0" w:rsidRPr="009108C0" w:rsidRDefault="009108C0" w:rsidP="009108C0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владеть научной лингвистической терминологией и ключевыми понятиями;</w:t>
      </w:r>
    </w:p>
    <w:p w:rsidR="009108C0" w:rsidRPr="009108C0" w:rsidRDefault="009108C0" w:rsidP="009108C0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9108C0" w:rsidRPr="009108C0" w:rsidRDefault="009108C0" w:rsidP="009108C0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108C0" w:rsidRPr="009108C0" w:rsidRDefault="009108C0" w:rsidP="009108C0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108C0" w:rsidRPr="009108C0" w:rsidRDefault="009108C0" w:rsidP="009108C0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давать оценку новым ситуациям, оценивать приобретённый опыт;</w:t>
      </w:r>
    </w:p>
    <w:p w:rsidR="009108C0" w:rsidRPr="009108C0" w:rsidRDefault="009108C0" w:rsidP="009108C0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осуществлять целенаправленный поиск переноса средств и способов действия в профессиональную среду;</w:t>
      </w:r>
    </w:p>
    <w:p w:rsidR="009108C0" w:rsidRPr="009108C0" w:rsidRDefault="009108C0" w:rsidP="009108C0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уметь переносить знания в познавательную и практическую области жизнедеятельности;</w:t>
      </w:r>
    </w:p>
    <w:p w:rsidR="009108C0" w:rsidRPr="009108C0" w:rsidRDefault="009108C0" w:rsidP="009108C0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уметь интегрировать знания из разных предметных областей; </w:t>
      </w:r>
    </w:p>
    <w:p w:rsidR="009108C0" w:rsidRPr="009108C0" w:rsidRDefault="009108C0" w:rsidP="009108C0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выдвигать новые идеи, предлагать оригинальные подходы и решения; </w:t>
      </w:r>
    </w:p>
    <w:p w:rsidR="009108C0" w:rsidRPr="009108C0" w:rsidRDefault="009108C0" w:rsidP="009108C0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ставить проблемы и задачи, допускающие альтернативных решений.</w:t>
      </w: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Работа с информацией:</w:t>
      </w:r>
    </w:p>
    <w:p w:rsidR="009108C0" w:rsidRPr="009108C0" w:rsidRDefault="009108C0" w:rsidP="009108C0">
      <w:pPr>
        <w:numPr>
          <w:ilvl w:val="0"/>
          <w:numId w:val="3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108C0" w:rsidRPr="009108C0" w:rsidRDefault="009108C0" w:rsidP="009108C0">
      <w:pPr>
        <w:numPr>
          <w:ilvl w:val="0"/>
          <w:numId w:val="3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создавать тексты на иностранном (английском) языке в различных форматах с учётом назначения информации и целевой аудитории, выбирая оптимальную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форму представления и визуализации (текст, таблица, схема, диаграмма и другие);</w:t>
      </w:r>
    </w:p>
    <w:p w:rsidR="009108C0" w:rsidRPr="009108C0" w:rsidRDefault="009108C0" w:rsidP="009108C0">
      <w:pPr>
        <w:numPr>
          <w:ilvl w:val="0"/>
          <w:numId w:val="3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оценивать достоверность информации, её соответствие морально-этическим нормам; </w:t>
      </w:r>
    </w:p>
    <w:p w:rsidR="009108C0" w:rsidRPr="009108C0" w:rsidRDefault="009108C0" w:rsidP="009108C0">
      <w:pPr>
        <w:numPr>
          <w:ilvl w:val="0"/>
          <w:numId w:val="3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108C0" w:rsidRPr="009108C0" w:rsidRDefault="009108C0" w:rsidP="009108C0">
      <w:pPr>
        <w:numPr>
          <w:ilvl w:val="0"/>
          <w:numId w:val="3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владеть навыками распознавания и защиты информации, информационной безопасности личности.</w:t>
      </w:r>
    </w:p>
    <w:p w:rsidR="009108C0" w:rsidRPr="009108C0" w:rsidRDefault="009108C0" w:rsidP="009108C0">
      <w:p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9108C0" w:rsidRPr="009108C0" w:rsidRDefault="009108C0" w:rsidP="009108C0">
      <w:p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Общение:</w:t>
      </w:r>
    </w:p>
    <w:p w:rsidR="009108C0" w:rsidRPr="009108C0" w:rsidRDefault="009108C0" w:rsidP="009108C0">
      <w:pPr>
        <w:numPr>
          <w:ilvl w:val="0"/>
          <w:numId w:val="4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осуществлять коммуникации во всех сферах жизни;</w:t>
      </w:r>
    </w:p>
    <w:p w:rsidR="009108C0" w:rsidRPr="009108C0" w:rsidRDefault="009108C0" w:rsidP="009108C0">
      <w:pPr>
        <w:numPr>
          <w:ilvl w:val="0"/>
          <w:numId w:val="4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108C0" w:rsidRPr="009108C0" w:rsidRDefault="009108C0" w:rsidP="009108C0">
      <w:pPr>
        <w:numPr>
          <w:ilvl w:val="0"/>
          <w:numId w:val="4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полилог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уметь смягчать конфликтные ситуации;</w:t>
      </w:r>
    </w:p>
    <w:p w:rsidR="009108C0" w:rsidRPr="009108C0" w:rsidRDefault="009108C0" w:rsidP="009108C0">
      <w:pPr>
        <w:numPr>
          <w:ilvl w:val="0"/>
          <w:numId w:val="4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развёрнуто и логично излагать свою точку зрения с использованием языковых средств.</w:t>
      </w:r>
    </w:p>
    <w:p w:rsidR="009108C0" w:rsidRPr="009108C0" w:rsidRDefault="009108C0" w:rsidP="009108C0">
      <w:p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9108C0" w:rsidRPr="009108C0" w:rsidRDefault="009108C0" w:rsidP="009108C0">
      <w:p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Самоорганизация</w:t>
      </w:r>
    </w:p>
    <w:p w:rsidR="009108C0" w:rsidRPr="009108C0" w:rsidRDefault="009108C0" w:rsidP="009108C0">
      <w:pPr>
        <w:numPr>
          <w:ilvl w:val="0"/>
          <w:numId w:val="5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108C0" w:rsidRPr="009108C0" w:rsidRDefault="009108C0" w:rsidP="009108C0">
      <w:pPr>
        <w:numPr>
          <w:ilvl w:val="0"/>
          <w:numId w:val="5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108C0" w:rsidRPr="009108C0" w:rsidRDefault="009108C0" w:rsidP="009108C0">
      <w:pPr>
        <w:numPr>
          <w:ilvl w:val="0"/>
          <w:numId w:val="5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давать оценку новым ситуациям;</w:t>
      </w:r>
    </w:p>
    <w:p w:rsidR="009108C0" w:rsidRPr="009108C0" w:rsidRDefault="009108C0" w:rsidP="009108C0">
      <w:pPr>
        <w:numPr>
          <w:ilvl w:val="0"/>
          <w:numId w:val="5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делать осознанный выбор, аргументировать его, брать ответственность за решение;</w:t>
      </w:r>
    </w:p>
    <w:p w:rsidR="009108C0" w:rsidRPr="009108C0" w:rsidRDefault="009108C0" w:rsidP="009108C0">
      <w:pPr>
        <w:numPr>
          <w:ilvl w:val="0"/>
          <w:numId w:val="5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оценивать приобретённый опыт;</w:t>
      </w:r>
    </w:p>
    <w:p w:rsidR="009108C0" w:rsidRPr="009108C0" w:rsidRDefault="009108C0" w:rsidP="009108C0">
      <w:pPr>
        <w:numPr>
          <w:ilvl w:val="0"/>
          <w:numId w:val="5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Самоконтроль</w:t>
      </w:r>
    </w:p>
    <w:p w:rsidR="009108C0" w:rsidRPr="009108C0" w:rsidRDefault="009108C0" w:rsidP="009108C0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давать оценку новым ситуациям; </w:t>
      </w:r>
    </w:p>
    <w:p w:rsidR="009108C0" w:rsidRPr="009108C0" w:rsidRDefault="009108C0" w:rsidP="009108C0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9108C0" w:rsidRPr="009108C0" w:rsidRDefault="009108C0" w:rsidP="009108C0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использовать приёмы рефлексии для оценки ситуации, выбора верного решения;</w:t>
      </w:r>
    </w:p>
    <w:p w:rsidR="009108C0" w:rsidRPr="009108C0" w:rsidRDefault="009108C0" w:rsidP="009108C0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9108C0" w:rsidRPr="009108C0" w:rsidRDefault="009108C0" w:rsidP="009108C0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вносить коррективы в созданный речевой проду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кт в сл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учае необходимости; </w:t>
      </w:r>
    </w:p>
    <w:p w:rsidR="009108C0" w:rsidRPr="009108C0" w:rsidRDefault="009108C0" w:rsidP="009108C0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оценивать риски и своевременно принимать решения по их снижению;</w:t>
      </w:r>
    </w:p>
    <w:p w:rsidR="009108C0" w:rsidRPr="009108C0" w:rsidRDefault="009108C0" w:rsidP="009108C0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принимать мотивы и аргументы других при анализе результатов деятельности;</w:t>
      </w:r>
    </w:p>
    <w:p w:rsidR="009108C0" w:rsidRPr="009108C0" w:rsidRDefault="009108C0" w:rsidP="009108C0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принимать себя, понимая свои недостатки и достоинства;</w:t>
      </w:r>
    </w:p>
    <w:p w:rsidR="009108C0" w:rsidRPr="009108C0" w:rsidRDefault="009108C0" w:rsidP="009108C0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принимать мотивы и аргументы других при анализе результатов деятельности;</w:t>
      </w:r>
    </w:p>
    <w:p w:rsidR="009108C0" w:rsidRPr="009108C0" w:rsidRDefault="009108C0" w:rsidP="009108C0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признавать своё право и право других на ошибку;</w:t>
      </w:r>
    </w:p>
    <w:p w:rsidR="009108C0" w:rsidRPr="009108C0" w:rsidRDefault="009108C0" w:rsidP="009108C0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развивать способность понимать мир с позиции другого человека.</w:t>
      </w:r>
    </w:p>
    <w:p w:rsidR="009108C0" w:rsidRPr="009108C0" w:rsidRDefault="009108C0" w:rsidP="009108C0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Совместная деятельность</w:t>
      </w:r>
    </w:p>
    <w:p w:rsidR="009108C0" w:rsidRPr="009108C0" w:rsidRDefault="009108C0" w:rsidP="009108C0">
      <w:pPr>
        <w:numPr>
          <w:ilvl w:val="0"/>
          <w:numId w:val="7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работы;</w:t>
      </w:r>
    </w:p>
    <w:p w:rsidR="009108C0" w:rsidRPr="009108C0" w:rsidRDefault="009108C0" w:rsidP="009108C0">
      <w:pPr>
        <w:numPr>
          <w:ilvl w:val="0"/>
          <w:numId w:val="7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9108C0" w:rsidRPr="009108C0" w:rsidRDefault="009108C0" w:rsidP="009108C0">
      <w:pPr>
        <w:numPr>
          <w:ilvl w:val="0"/>
          <w:numId w:val="7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9108C0" w:rsidRPr="009108C0" w:rsidRDefault="009108C0" w:rsidP="009108C0">
      <w:pPr>
        <w:numPr>
          <w:ilvl w:val="0"/>
          <w:numId w:val="7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108C0" w:rsidRPr="009108C0" w:rsidRDefault="009108C0" w:rsidP="009108C0">
      <w:pPr>
        <w:numPr>
          <w:ilvl w:val="0"/>
          <w:numId w:val="7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предлагать новые проекты, оценивать идеи с позиции новизны, оригинальности, практической значимости.</w:t>
      </w:r>
    </w:p>
    <w:p w:rsidR="009108C0" w:rsidRPr="009108C0" w:rsidRDefault="009108C0" w:rsidP="009108C0">
      <w:pPr>
        <w:spacing w:after="0" w:line="264" w:lineRule="auto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val="tt-RU" w:eastAsia="ru-RU"/>
        </w:rPr>
      </w:pPr>
    </w:p>
    <w:p w:rsidR="009108C0" w:rsidRPr="009108C0" w:rsidRDefault="009108C0" w:rsidP="009108C0">
      <w:p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:rsidR="009108C0" w:rsidRPr="009108C0" w:rsidRDefault="009108C0" w:rsidP="009108C0">
      <w:p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eastAsiaTheme="minorEastAsia"/>
          <w:sz w:val="24"/>
          <w:szCs w:val="24"/>
          <w:lang w:val="tt-RU" w:eastAsia="ru-RU"/>
        </w:rPr>
        <w:t xml:space="preserve">          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метапредметной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К концу </w:t>
      </w:r>
      <w:r w:rsidRPr="009108C0">
        <w:rPr>
          <w:rFonts w:ascii="Times New Roman" w:eastAsiaTheme="minorEastAsia" w:hAnsi="Times New Roman"/>
          <w:b/>
          <w:i/>
          <w:color w:val="000000"/>
          <w:sz w:val="24"/>
          <w:szCs w:val="24"/>
          <w:lang w:eastAsia="ru-RU"/>
        </w:rPr>
        <w:t>10 класса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научится: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1) владеть основными видами речевой деятельности: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говорение: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 xml:space="preserve">устно излагать результаты выполненной проектной работы (объём – до 14 фраз).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9108C0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аудирование</w:t>
      </w:r>
      <w:proofErr w:type="spellEnd"/>
      <w:r w:rsidRPr="009108C0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: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до 2,5 минут).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смысловое чтение: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читать про себя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несплошные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тексты (таблицы, диаграммы, графики и другие) и понимать представленную в них информацию.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письменная речь: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2) владеть фонетическими навыками: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владеть орфографическими навыками: правильно писать изученные слова;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3)владеть пунктуационными навыками: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4) распознавать и употреблять в устной и письменной речи: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родственные слова, образованные с использованием аффиксации: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глаголы при помощи префиксов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dis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mis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over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under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и суффиксов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ise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ize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имена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существительные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помощи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префиксов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un-, in-/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im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-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суффиксов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ance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/-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ence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er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/-or,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ing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ist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ity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ment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-ness,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sion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/-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tion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-ship;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имена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прилагательные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помощи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префиксов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un-, in-/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im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-, inter-, non-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суффиксов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-able/-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ible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-al,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ed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ese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ful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ian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/-an,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ing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ish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ive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-less,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ly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ous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-y;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наречия при помощи префиксов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un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-/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im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-, и суффикса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ly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числительные при помощи суффиксов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teen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ty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 xml:space="preserve">с использованием словосложения: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сложные существительные путём соединения основ существительных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football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сложные существительные путём соединения основы прилагательного с основой существительного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bluebell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сложные существительные путём соединения основ существительных с предлогом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father-in-law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blue-eyed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eight-legged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сложных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прилагательные путём соединения наречия с основой причастия II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well-behaved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сложные прилагательные путём соединения основы прилагательного с основой причастия I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nice-looking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с использованием конверсии: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имён существительных от неопределённых форм глаголов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run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a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run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имён существительных от прилагательных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rich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people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the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rich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глаголов от имён существительных (a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hand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hand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глаголов от имён прилагательных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cool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cool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имена прилагательные на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ing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excited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exciting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речи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речи: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 с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начальным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 с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начальным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There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 с глагольными конструкциями, содержащими глаголы-связки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look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seem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feel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 </w:t>
      </w:r>
      <w:proofErr w:type="spellStart"/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сложным дополнением –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Complex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Object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 xml:space="preserve">сложносочинённые предложения с сочинительными союзами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and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but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or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сложноподчинённые предложения с союзами и союзными словами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because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if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when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where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what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why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how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which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that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;</w:t>
      </w:r>
      <w:proofErr w:type="gramEnd"/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сложноподчинённые предложения с союзными словами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whoever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whatever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however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whenever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условные предложения с глаголами в изъявительном наклонении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Conditional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0,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Conditional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I) и с глаголами в сослагательном наклонении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Conditional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II);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все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типы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вопросительных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предложений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общий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специальный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альтернативный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разделительный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вопросы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Present/Past/Future Simple Tense, Present/Past Continuous Tense, Present/Past Perfect Tense, Present Perfect Continuous Tense);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модальные глаголы в косвенной речи в настоящем и прошедшем времени;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предложения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конструкциями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as … as, not so … as, both … and …, either … or, neither … nor;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 с I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wish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конструкции с глаголами на -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ing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love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hate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doing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smth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c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глаголами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to stop, to remember, to forget (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разница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значении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to stop doing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to stop to do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конструкция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It takes me … to do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конструкция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used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+ инфинитив глагола;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be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/get used to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be/get used to doing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I prefer, I’d prefer, I’d rather prefer,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выражающие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предпочтение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также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конструкций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I’d rather, You’d better;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подлежащее, выраженное собирательным существительным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family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police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), и его согласование со сказуемым;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Future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Simple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Future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Continuous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Perfect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Perfect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Continuous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Future-in-the-Past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 и наиболее употребительных формах страдательного залога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Simple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Passive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Perfect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Passive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конструкция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to be going to,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формы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Future Simple Tense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Present Continuous Tense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выражения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будущего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действия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модальные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глаголы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их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эквиваленты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(can/be able to, could, must/have to, may, might, should, shall, would, will, need);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неличные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формы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глагола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–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инфинитив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герундий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причастие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(Participle I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Participle II),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причастия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функции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определения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(Participle I – a playing child, Participle II – a written text);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определённый, неопределённый и нулевой артикли;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имена существительные во множественном числе, </w:t>
      </w: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образованных</w:t>
      </w:r>
      <w:proofErr w:type="gram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по правилу, и исключения;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неисчисляемые имена существительные, имеющие форму только множественного числа;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притяжательный падеж имён существительных;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слова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выражающие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количество</w:t>
      </w:r>
      <w:r w:rsidRPr="009108C0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(many/much, little/a little, few/a few, a lot of);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неопределённые местоимения и их производные, отрицательные местоимения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none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no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 производные последнего (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nobody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nothing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и другие);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количественные и порядковые числительные;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предлоги места, времени, направления, предлоги, употребляемые с глаголами в страдательном залоге.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5) владеть социокультурными знаниями и умениями: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представлять родную страну и её культуру на иностранном языке;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проявлять уважение к иной культуре, соблюдать нормы вежливости в межкультурном общении.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языковую и контекстуальную догадку.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7) владеть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умениями, позволяющими: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совершенствовать учебную деятельность по овладению иностранным языком;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межпредметного</w:t>
      </w:r>
      <w:proofErr w:type="spellEnd"/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9108C0" w:rsidRPr="009108C0" w:rsidRDefault="009108C0" w:rsidP="009108C0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9108C0" w:rsidRPr="009108C0" w:rsidRDefault="009108C0" w:rsidP="009108C0">
      <w:pPr>
        <w:rPr>
          <w:rFonts w:eastAsiaTheme="minorEastAsia"/>
          <w:sz w:val="24"/>
          <w:szCs w:val="24"/>
          <w:lang w:eastAsia="ru-RU"/>
        </w:rPr>
        <w:sectPr w:rsidR="009108C0" w:rsidRPr="009108C0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9108C0" w:rsidRPr="009108C0" w:rsidRDefault="009108C0" w:rsidP="009108C0">
      <w:pPr>
        <w:spacing w:after="0"/>
        <w:ind w:left="120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 </w:t>
      </w: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 xml:space="preserve">ТЕМАТИЧЕСКОЕ ПЛАНИРОВАНИЕ </w:t>
      </w:r>
    </w:p>
    <w:p w:rsidR="009108C0" w:rsidRPr="009108C0" w:rsidRDefault="009108C0" w:rsidP="009108C0">
      <w:pPr>
        <w:spacing w:after="0"/>
        <w:ind w:left="120"/>
        <w:rPr>
          <w:rFonts w:eastAsiaTheme="minorEastAsia"/>
          <w:sz w:val="24"/>
          <w:szCs w:val="24"/>
          <w:lang w:eastAsia="ru-RU"/>
        </w:rPr>
      </w:pPr>
      <w:r w:rsidRPr="009108C0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5529"/>
        <w:gridCol w:w="1275"/>
        <w:gridCol w:w="1512"/>
        <w:gridCol w:w="1910"/>
      </w:tblGrid>
      <w:tr w:rsidR="009108C0" w:rsidRPr="009108C0" w:rsidTr="0097679F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9108C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9108C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</w:tr>
      <w:tr w:rsidR="009108C0" w:rsidRPr="009108C0" w:rsidTr="0097679F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8C0" w:rsidRPr="009108C0" w:rsidRDefault="009108C0" w:rsidP="009108C0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8C0" w:rsidRPr="009108C0" w:rsidRDefault="009108C0" w:rsidP="009108C0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9108C0" w:rsidRPr="009108C0" w:rsidTr="0097679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9108C0" w:rsidRPr="009108C0" w:rsidTr="0097679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9108C0" w:rsidRPr="009108C0" w:rsidTr="0097679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10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9108C0" w:rsidRPr="009108C0" w:rsidTr="0097679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7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9108C0" w:rsidRPr="009108C0" w:rsidTr="0097679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9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9108C0" w:rsidRPr="009108C0" w:rsidTr="0097679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Молодежь в современном обществе. Досуг молодежи: чтение, кино, театр, музыка, музеи, Интернет, компьютерные игры. Любовь и дружба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13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val="tt-RU"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9108C0" w:rsidRPr="009108C0" w:rsidTr="0097679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5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9108C0" w:rsidRPr="009108C0" w:rsidTr="0097679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7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9108C0" w:rsidRPr="009108C0" w:rsidTr="0097679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16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9108C0" w:rsidRPr="009108C0" w:rsidTr="0097679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9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9108C0" w:rsidRPr="009108C0" w:rsidTr="0097679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gramStart"/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9108C0" w:rsidRPr="009108C0" w:rsidTr="0097679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gramStart"/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9108C0" w:rsidRPr="009108C0" w:rsidTr="0097679F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102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9108C0">
              <w:rPr>
                <w:rFonts w:ascii="Times New Roman" w:eastAsiaTheme="minorEastAsia" w:hAnsi="Times New Roman"/>
                <w:color w:val="000000"/>
                <w:sz w:val="24"/>
                <w:lang w:val="tt-RU" w:eastAsia="ru-RU"/>
              </w:rPr>
              <w:t>4</w:t>
            </w: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8C0" w:rsidRPr="009108C0" w:rsidRDefault="009108C0" w:rsidP="009108C0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9108C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 </w:t>
            </w:r>
          </w:p>
        </w:tc>
      </w:tr>
    </w:tbl>
    <w:p w:rsidR="009108C0" w:rsidRPr="009108C0" w:rsidRDefault="009108C0" w:rsidP="009108C0">
      <w:pPr>
        <w:rPr>
          <w:rFonts w:eastAsiaTheme="minorEastAsia"/>
          <w:lang w:eastAsia="ru-RU"/>
        </w:rPr>
        <w:sectPr w:rsidR="009108C0" w:rsidRPr="009108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60C8" w:rsidRDefault="001C60C8">
      <w:bookmarkStart w:id="4" w:name="_GoBack"/>
      <w:bookmarkEnd w:id="4"/>
    </w:p>
    <w:sectPr w:rsidR="001C60C8" w:rsidSect="009108C0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A54A0"/>
    <w:multiLevelType w:val="multilevel"/>
    <w:tmpl w:val="AC385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D500D9"/>
    <w:multiLevelType w:val="multilevel"/>
    <w:tmpl w:val="43CAF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7F3963"/>
    <w:multiLevelType w:val="multilevel"/>
    <w:tmpl w:val="8448304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623E69"/>
    <w:multiLevelType w:val="multilevel"/>
    <w:tmpl w:val="E07EFEF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716F5C"/>
    <w:multiLevelType w:val="multilevel"/>
    <w:tmpl w:val="B4747E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E31AC8"/>
    <w:multiLevelType w:val="multilevel"/>
    <w:tmpl w:val="33049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B4350C"/>
    <w:multiLevelType w:val="multilevel"/>
    <w:tmpl w:val="8C4CE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101"/>
    <w:rsid w:val="001C60C8"/>
    <w:rsid w:val="00722711"/>
    <w:rsid w:val="009108C0"/>
    <w:rsid w:val="00D2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0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10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08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0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10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08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1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8128</Words>
  <Characters>46330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2024-03-04T16:11:00Z</dcterms:created>
  <dcterms:modified xsi:type="dcterms:W3CDTF">2024-03-04T16:25:00Z</dcterms:modified>
</cp:coreProperties>
</file>